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39138308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AWARD CATEGORY: INNOVATION IN SATELLITE SERVICES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Recognises excellence in the provision of satellite communications or satellite/space-related products and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services in the Australian space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All satellite industry participants, inc. network operators, equipment and infrastructure providers, service providers, ground segment providers, consultants and researchers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Satellite initiatives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and/or projects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undertaken in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Australia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initiative and/or project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NOT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Award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2025.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initiative and/or project nominated for this award.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initiative/project was introduced to the market.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initiative and/or project.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How has it added value to the satellite sector and/or Australian community?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If applicable, how it exceeds any existing industry standards or benchmarks.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tangible and quantifiable results help to demonstrate the success of the initiatives put in place now and in the future?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has the initiative and/or project helped Australian consumers or businesses improve their lives or commercial endeavours?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f2dcdb" w:val="clear"/>
          <w:vAlign w:val="center"/>
        </w:tcPr>
        <w:p w:rsidR="00000000" w:rsidDel="00000000" w:rsidP="00000000" w:rsidRDefault="00000000" w:rsidRPr="00000000" w14:paraId="0000005D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5E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hyperlink r:id="rId1"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https://cml.advancedforms.squiz.cloud/form/2025-tie-awards-nomination-submission-form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2 May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>
        <w:b w:val="1"/>
        <w:bCs w:val="1"/>
        <w:color w:val="cc0000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4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SATELLITE SERVICES</w:t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ml.advancedforms.squiz.cloud/form/2025-tie-awards-nomination-submiss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3jvPgi8FiesO13frYRZbs2ioQ==">CgMxLjAaHwoBMBIaChgICVIUChJ0YWJsZS53Z3kydzk4ZWNyYmM4AHIhMWw1eGpuTE9Vc1lESUdoMHNKdkt2NnNEWXg3eXV6T1Fi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